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C170ED">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C170ED">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C170ED">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C170ED">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C170ED">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C170ED">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C170ED">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C170ED">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C170ED">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C170ED">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C170ED">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C170ED">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C170ED">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C170ED">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C170ED">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C170ED">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C170ED">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C170ED">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C170ED">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C170ED">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C170ED">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C170ED">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C170ED">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C170ED">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C170ED"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C170ED">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C170ED">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C170ED">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C170ED">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C170ED">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C170ED">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C170ED">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C170ED">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C170ED">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C170ED">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C170ED">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C170ED">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C170ED">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C170ED">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C170ED">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C170ED">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C170ED">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C170ED">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C170ED">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C170ED">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C170ED">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C170ED">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C170ED">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C170ED">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C170ED">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C170ED">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C170ED">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C170ED">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C170ED">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C170ED">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C170ED">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C170ED">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C170ED">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C170ED">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C170ED">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C170ED">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C170ED">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C170ED">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C170ED">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C170ED">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C170ED">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C170ED">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C170ED">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C170ED">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C170ED">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C170ED">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C170ED">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w:t>
      </w:r>
      <w:proofErr w:type="spellStart"/>
      <w:r w:rsidR="006A6530">
        <w:rPr>
          <w:rFonts w:ascii="Arial" w:hAnsi="Arial" w:cs="Arial"/>
          <w:sz w:val="24"/>
          <w:szCs w:val="24"/>
        </w:rPr>
        <w:t>geoestatístico</w:t>
      </w:r>
      <w:proofErr w:type="spellEnd"/>
      <w:r w:rsidR="006A6530">
        <w:rPr>
          <w:rFonts w:ascii="Arial" w:hAnsi="Arial" w:cs="Arial"/>
          <w:sz w:val="24"/>
          <w:szCs w:val="24"/>
        </w:rPr>
        <w:t xml:space="preserve">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w:t>
      </w:r>
      <w:proofErr w:type="spellStart"/>
      <w:r w:rsidR="00A47866">
        <w:rPr>
          <w:rFonts w:ascii="Arial" w:hAnsi="Arial" w:cs="Arial"/>
          <w:sz w:val="24"/>
          <w:szCs w:val="24"/>
        </w:rPr>
        <w:t>geostatístico</w:t>
      </w:r>
      <w:proofErr w:type="spellEnd"/>
      <w:r w:rsidR="00A47866">
        <w:rPr>
          <w:rFonts w:ascii="Arial" w:hAnsi="Arial" w:cs="Arial"/>
          <w:sz w:val="24"/>
          <w:szCs w:val="24"/>
        </w:rPr>
        <w:t xml:space="preserve">, aplicando algoritmos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para dados na porção estruturada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e simulações gaussianas para dados na porção não estruturada, permitindo melhor desempenho na estimativa de dados nas porções não estruturadas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w:t>
      </w:r>
      <w:proofErr w:type="spellStart"/>
      <w:r w:rsidR="00A47866">
        <w:rPr>
          <w:rFonts w:ascii="Arial" w:hAnsi="Arial" w:cs="Arial"/>
          <w:sz w:val="24"/>
          <w:szCs w:val="24"/>
        </w:rPr>
        <w:t>Hengl</w:t>
      </w:r>
      <w:proofErr w:type="spellEnd"/>
      <w:r w:rsidR="00A47866">
        <w:rPr>
          <w:rFonts w:ascii="Arial" w:hAnsi="Arial" w:cs="Arial"/>
          <w:sz w:val="24"/>
          <w:szCs w:val="24"/>
        </w:rPr>
        <w:t xml:space="preserve"> et al., 2007; Hansen et al., 2006) e evitando as feições suavizadas características de algoritmos baseados unicamente em métodos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w:t>
      </w:r>
      <w:proofErr w:type="spellStart"/>
      <w:r w:rsidR="006D5136">
        <w:rPr>
          <w:rFonts w:ascii="Arial" w:hAnsi="Arial" w:cs="Arial"/>
          <w:sz w:val="24"/>
          <w:szCs w:val="24"/>
        </w:rPr>
        <w:t>sub-sísmicas</w:t>
      </w:r>
      <w:proofErr w:type="spellEnd"/>
      <w:r w:rsidR="006D5136">
        <w:rPr>
          <w:rFonts w:ascii="Arial" w:hAnsi="Arial" w:cs="Arial"/>
          <w:sz w:val="24"/>
          <w:szCs w:val="24"/>
        </w:rPr>
        <w:t>,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-tracking são associados a altos graus de fraturamento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xml:space="preserve">, 2019). Como o cálculo de volumes, objetivo final deste estudo, </w:t>
      </w:r>
      <w:r w:rsidRPr="00403851">
        <w:rPr>
          <w:rFonts w:ascii="Arial" w:hAnsi="Arial" w:cs="Arial"/>
          <w:sz w:val="24"/>
          <w:szCs w:val="24"/>
        </w:rPr>
        <w:lastRenderedPageBreak/>
        <w:t>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fraturamento: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fraturamento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C170ED"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C170ED"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D34B0E" w:rsidRPr="00075389" w:rsidRDefault="00D34B0E"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D34B0E" w:rsidRPr="00075389" w:rsidRDefault="00D34B0E"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4"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4"/>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5"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5"/>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6"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6"/>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7" w:name="_Toc12834441"/>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7"/>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8"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8"/>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29"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29"/>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0"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0"/>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1" w:name="_Toc12834442"/>
      <w:r w:rsidRPr="00D36BA6">
        <w:rPr>
          <w:rFonts w:ascii="Arial" w:hAnsi="Arial" w:cs="Arial"/>
          <w:b/>
          <w:sz w:val="28"/>
          <w:szCs w:val="28"/>
        </w:rPr>
        <w:lastRenderedPageBreak/>
        <w:t>Modelamento de Propriedades</w:t>
      </w:r>
      <w:bookmarkEnd w:id="31"/>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C170ED"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w:t>
      </w:r>
      <w:proofErr w:type="spellStart"/>
      <w:r>
        <w:rPr>
          <w:rFonts w:ascii="Arial" w:eastAsiaTheme="minorEastAsia" w:hAnsi="Arial" w:cs="Arial"/>
          <w:sz w:val="24"/>
          <w:szCs w:val="24"/>
        </w:rPr>
        <w:t>artir</w:t>
      </w:r>
      <w:proofErr w:type="spellEnd"/>
      <w:r>
        <w:rPr>
          <w:rFonts w:ascii="Arial" w:eastAsiaTheme="minorEastAsia" w:hAnsi="Arial" w:cs="Arial"/>
          <w:sz w:val="24"/>
          <w:szCs w:val="24"/>
        </w:rPr>
        <w:t xml:space="preserve">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2"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2"/>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proofErr w:type="spellStart"/>
      <w:r w:rsidR="00222AE4" w:rsidRPr="00222AE4">
        <w:rPr>
          <w:rFonts w:ascii="Arial" w:hAnsi="Arial" w:cs="Arial"/>
          <w:i/>
          <w:sz w:val="24"/>
          <w:szCs w:val="24"/>
        </w:rPr>
        <w:t>upscaling</w:t>
      </w:r>
      <w:proofErr w:type="spellEnd"/>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w:t>
      </w:r>
      <w:proofErr w:type="spellStart"/>
      <w:r w:rsidR="00CA6468">
        <w:rPr>
          <w:rFonts w:ascii="Arial" w:hAnsi="Arial" w:cs="Arial"/>
          <w:sz w:val="24"/>
          <w:szCs w:val="24"/>
        </w:rPr>
        <w:t>ant</w:t>
      </w:r>
      <w:proofErr w:type="spellEnd"/>
      <w:r w:rsidR="00CA6468">
        <w:rPr>
          <w:rFonts w:ascii="Arial" w:hAnsi="Arial" w:cs="Arial"/>
          <w:sz w:val="24"/>
          <w:szCs w:val="24"/>
        </w:rPr>
        <w:t xml:space="preserve">-tracking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3" w:name="_Toc12834443"/>
      <w:bookmarkStart w:id="34"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3"/>
    </w:p>
    <w:bookmarkEnd w:id="34"/>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5"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5"/>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6"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6"/>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7" w:name="_Toc12834445"/>
      <w:proofErr w:type="spellStart"/>
      <w:r w:rsidRPr="0041224B">
        <w:rPr>
          <w:rFonts w:ascii="Arial" w:eastAsia="Times New Roman" w:hAnsi="Arial" w:cs="Arial"/>
          <w:b/>
          <w:sz w:val="24"/>
          <w:szCs w:val="24"/>
        </w:rPr>
        <w:lastRenderedPageBreak/>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7"/>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C170ED"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C170ED"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C170ED"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proofErr w:type="spellStart"/>
      <w:r w:rsidR="00F047EC" w:rsidRPr="00B17B53">
        <w:rPr>
          <w:rFonts w:ascii="Arial" w:eastAsia="Times New Roman" w:hAnsi="Arial" w:cs="Arial"/>
          <w:sz w:val="24"/>
          <w:szCs w:val="24"/>
        </w:rPr>
        <w:t>resenta</w:t>
      </w:r>
      <w:proofErr w:type="spellEnd"/>
      <w:r w:rsidR="00F047EC" w:rsidRPr="00B17B53">
        <w:rPr>
          <w:rFonts w:ascii="Arial" w:eastAsia="Times New Roman" w:hAnsi="Arial" w:cs="Arial"/>
          <w:sz w:val="24"/>
          <w:szCs w:val="24"/>
        </w:rPr>
        <w:t xml:space="preserve">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6"/>
      <w:r w:rsidRPr="0041224B">
        <w:rPr>
          <w:rFonts w:ascii="Arial" w:eastAsia="Times New Roman" w:hAnsi="Arial" w:cs="Arial"/>
          <w:b/>
          <w:sz w:val="24"/>
          <w:szCs w:val="24"/>
        </w:rPr>
        <w:t>Classificação por modelo de mistura gaussiana.</w:t>
      </w:r>
      <w:bookmarkEnd w:id="38"/>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39"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39"/>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0"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0"/>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1"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1"/>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2"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2"/>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3"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3"/>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4"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4"/>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-Tracking como uma medida do grau de fraturamento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5"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5"/>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6"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6"/>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7"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7"/>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8"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w:t>
      </w:r>
      <w:r>
        <w:rPr>
          <w:rFonts w:ascii="Arial" w:hAnsi="Arial" w:cs="Arial"/>
          <w:b/>
          <w:color w:val="auto"/>
          <w:sz w:val="20"/>
          <w:szCs w:val="20"/>
        </w:rPr>
        <w:t>o</w:t>
      </w:r>
      <w:proofErr w:type="gramEnd"/>
      <w:r w:rsidRPr="00503DDB">
        <w:rPr>
          <w:rFonts w:ascii="Arial" w:hAnsi="Arial" w:cs="Arial"/>
          <w:b/>
          <w:color w:val="auto"/>
          <w:sz w:val="20"/>
          <w:szCs w:val="20"/>
        </w:rPr>
        <w:t xml:space="preserve"> do Quissamã, a diferença observada na média é menor do que o desvio padrão destas medidas.</w:t>
      </w:r>
      <w:bookmarkEnd w:id="48"/>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49" w:name="_Hlk32263723"/>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49"/>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 xml:space="preserve">Os resultados obtidos corroboram com as observações de </w:t>
      </w:r>
      <w:proofErr w:type="spellStart"/>
      <w:r>
        <w:rPr>
          <w:rFonts w:ascii="Arial" w:hAnsi="Arial" w:cs="Arial"/>
          <w:sz w:val="24"/>
          <w:szCs w:val="24"/>
        </w:rPr>
        <w:t>Tomaso</w:t>
      </w:r>
      <w:proofErr w:type="spellEnd"/>
      <w:r>
        <w:rPr>
          <w:rFonts w:ascii="Arial" w:hAnsi="Arial" w:cs="Arial"/>
          <w:sz w:val="24"/>
          <w:szCs w:val="24"/>
        </w:rPr>
        <w:t xml:space="preserve">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w:t>
      </w:r>
      <w:proofErr w:type="spellStart"/>
      <w:r w:rsidR="0045548B">
        <w:rPr>
          <w:rFonts w:ascii="Arial" w:hAnsi="Arial" w:cs="Arial"/>
          <w:sz w:val="24"/>
          <w:szCs w:val="24"/>
        </w:rPr>
        <w:t>cut-offs</w:t>
      </w:r>
      <w:proofErr w:type="spellEnd"/>
      <w:r w:rsidR="0045548B">
        <w:rPr>
          <w:rFonts w:ascii="Arial" w:hAnsi="Arial" w:cs="Arial"/>
          <w:sz w:val="24"/>
          <w:szCs w:val="24"/>
        </w:rPr>
        <w:t xml:space="preserve"> mínimos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e analisar a quais zonas cada célula pertence é possível representar de maneira simples este zoneamento (Figura 22). As células com valores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0"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fraturamento, 60% a 75% dos valores encontram-se na Zona Sul. Para os poucos (n = 151) valores positivos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0"/>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1"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1"/>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por média móvel apresentado anteriormente (Figura 12), os dados de petrofísica de poço foram transformados da escala de poço para a escala do modelo estrutural,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células que interceptam os poços e criando grids colunares. A distribuição estatística dos dados antes e depois da transformação é utilizada para avaliar o resultado do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Em seguida é feito o modelamento </w:t>
      </w:r>
      <w:proofErr w:type="spellStart"/>
      <w:r w:rsidRPr="000379D6">
        <w:rPr>
          <w:rFonts w:ascii="Arial" w:hAnsi="Arial" w:cs="Arial"/>
          <w:sz w:val="24"/>
          <w:szCs w:val="24"/>
        </w:rPr>
        <w:t>geoestatístico</w:t>
      </w:r>
      <w:proofErr w:type="spellEnd"/>
      <w:r w:rsidRPr="000379D6">
        <w:rPr>
          <w:rFonts w:ascii="Arial" w:hAnsi="Arial" w:cs="Arial"/>
          <w:sz w:val="24"/>
          <w:szCs w:val="24"/>
        </w:rPr>
        <w:t xml:space="preserve"> destas propriedades para as zonas </w:t>
      </w:r>
      <w:proofErr w:type="spellStart"/>
      <w:r w:rsidRPr="000379D6">
        <w:rPr>
          <w:rFonts w:ascii="Arial" w:hAnsi="Arial" w:cs="Arial"/>
          <w:sz w:val="24"/>
          <w:szCs w:val="24"/>
        </w:rPr>
        <w:t>inter-poços</w:t>
      </w:r>
      <w:proofErr w:type="spellEnd"/>
      <w:r w:rsidRPr="000379D6">
        <w:rPr>
          <w:rFonts w:ascii="Arial" w:hAnsi="Arial" w:cs="Arial"/>
          <w:sz w:val="24"/>
          <w:szCs w:val="24"/>
        </w:rPr>
        <w:t xml:space="preserve">,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o modelo de reservatório com valores para as medidas petrofísicas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petrofísica de poço. As propriedades foram modeladas utilizando o algoritmo de GRFS (</w:t>
      </w:r>
      <w:proofErr w:type="spellStart"/>
      <w:r w:rsidRPr="000379D6">
        <w:rPr>
          <w:rFonts w:ascii="Arial" w:hAnsi="Arial" w:cs="Arial"/>
          <w:sz w:val="24"/>
          <w:szCs w:val="24"/>
        </w:rPr>
        <w:t>Gaussian</w:t>
      </w:r>
      <w:proofErr w:type="spellEnd"/>
      <w:r w:rsidRPr="000379D6">
        <w:rPr>
          <w:rFonts w:ascii="Arial" w:hAnsi="Arial" w:cs="Arial"/>
          <w:sz w:val="24"/>
          <w:szCs w:val="24"/>
        </w:rPr>
        <w:t xml:space="preserve"> </w:t>
      </w:r>
      <w:proofErr w:type="spellStart"/>
      <w:r w:rsidRPr="000379D6">
        <w:rPr>
          <w:rFonts w:ascii="Arial" w:hAnsi="Arial" w:cs="Arial"/>
          <w:sz w:val="24"/>
          <w:szCs w:val="24"/>
        </w:rPr>
        <w:t>Random</w:t>
      </w:r>
      <w:proofErr w:type="spellEnd"/>
      <w:r w:rsidRPr="000379D6">
        <w:rPr>
          <w:rFonts w:ascii="Arial" w:hAnsi="Arial" w:cs="Arial"/>
          <w:sz w:val="24"/>
          <w:szCs w:val="24"/>
        </w:rPr>
        <w:t xml:space="preserve"> </w:t>
      </w:r>
      <w:proofErr w:type="spellStart"/>
      <w:r w:rsidRPr="000379D6">
        <w:rPr>
          <w:rFonts w:ascii="Arial" w:hAnsi="Arial" w:cs="Arial"/>
          <w:sz w:val="24"/>
          <w:szCs w:val="24"/>
        </w:rPr>
        <w:t>Function</w:t>
      </w:r>
      <w:proofErr w:type="spellEnd"/>
      <w:r w:rsidRPr="000379D6">
        <w:rPr>
          <w:rFonts w:ascii="Arial" w:hAnsi="Arial" w:cs="Arial"/>
          <w:sz w:val="24"/>
          <w:szCs w:val="24"/>
        </w:rPr>
        <w:t xml:space="preserve"> </w:t>
      </w:r>
      <w:proofErr w:type="spellStart"/>
      <w:r w:rsidRPr="000379D6">
        <w:rPr>
          <w:rFonts w:ascii="Arial" w:hAnsi="Arial" w:cs="Arial"/>
          <w:sz w:val="24"/>
          <w:szCs w:val="24"/>
        </w:rPr>
        <w:t>Simulation</w:t>
      </w:r>
      <w:proofErr w:type="spellEnd"/>
      <w:r w:rsidRPr="000379D6">
        <w:rPr>
          <w:rFonts w:ascii="Arial" w:hAnsi="Arial" w:cs="Arial"/>
          <w:sz w:val="24"/>
          <w:szCs w:val="24"/>
        </w:rPr>
        <w:t xml:space="preserve">, GRFS), onde valores na porção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modelados usando técnicas </w:t>
      </w:r>
      <w:proofErr w:type="spellStart"/>
      <w:r w:rsidRPr="000379D6">
        <w:rPr>
          <w:rFonts w:ascii="Arial" w:hAnsi="Arial" w:cs="Arial"/>
          <w:sz w:val="24"/>
          <w:szCs w:val="24"/>
        </w:rPr>
        <w:t>krigagem</w:t>
      </w:r>
      <w:proofErr w:type="spellEnd"/>
      <w:r w:rsidRPr="000379D6">
        <w:rPr>
          <w:rFonts w:ascii="Arial" w:hAnsi="Arial" w:cs="Arial"/>
          <w:sz w:val="24"/>
          <w:szCs w:val="24"/>
        </w:rPr>
        <w:t xml:space="preserve"> e valores na porção não </w:t>
      </w:r>
      <w:r w:rsidRPr="000379D6">
        <w:rPr>
          <w:rFonts w:ascii="Arial" w:hAnsi="Arial" w:cs="Arial"/>
          <w:sz w:val="24"/>
          <w:szCs w:val="24"/>
        </w:rPr>
        <w:lastRenderedPageBreak/>
        <w:t xml:space="preserve">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2"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w:t>
      </w:r>
      <w:proofErr w:type="spellStart"/>
      <w:r w:rsidR="000379D6">
        <w:rPr>
          <w:rFonts w:ascii="Arial" w:hAnsi="Arial" w:cs="Arial"/>
          <w:sz w:val="24"/>
          <w:szCs w:val="24"/>
        </w:rPr>
        <w:t>upscaling</w:t>
      </w:r>
      <w:proofErr w:type="spellEnd"/>
      <w:r w:rsidR="000379D6">
        <w:rPr>
          <w:rFonts w:ascii="Arial" w:hAnsi="Arial" w:cs="Arial"/>
          <w:sz w:val="24"/>
          <w:szCs w:val="24"/>
        </w:rPr>
        <w:t xml:space="preserve">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2"/>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3"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3"/>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23F16486">
            <wp:extent cx="5709588" cy="776866"/>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709588" cy="776866"/>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Default="00FC01FE" w:rsidP="00366C5C">
      <w:pPr>
        <w:spacing w:line="360" w:lineRule="auto"/>
        <w:ind w:firstLine="708"/>
        <w:jc w:val="both"/>
        <w:rPr>
          <w:rFonts w:ascii="Arial" w:hAnsi="Arial" w:cs="Arial"/>
          <w:sz w:val="24"/>
          <w:szCs w:val="24"/>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761E5DD8" w14:textId="72407DE1" w:rsidR="00AC637F" w:rsidRPr="00AC637F" w:rsidRDefault="00AC637F" w:rsidP="00AC637F">
      <w:pPr>
        <w:spacing w:before="240" w:line="360" w:lineRule="auto"/>
        <w:ind w:firstLine="708"/>
        <w:jc w:val="both"/>
        <w:outlineLvl w:val="2"/>
        <w:rPr>
          <w:rFonts w:ascii="Arial" w:eastAsia="Times New Roman" w:hAnsi="Arial" w:cs="Arial"/>
          <w:bCs/>
          <w:sz w:val="24"/>
          <w:szCs w:val="24"/>
        </w:rPr>
      </w:pPr>
      <w:r w:rsidRPr="00AC637F">
        <w:rPr>
          <w:rFonts w:ascii="Arial" w:eastAsia="Times New Roman" w:hAnsi="Arial" w:cs="Arial"/>
          <w:bCs/>
          <w:sz w:val="24"/>
          <w:szCs w:val="24"/>
        </w:rPr>
        <w:t xml:space="preserve">O </w:t>
      </w:r>
      <w:proofErr w:type="spellStart"/>
      <w:r w:rsidRPr="00DE21CB">
        <w:rPr>
          <w:rFonts w:ascii="Arial" w:eastAsia="Times New Roman" w:hAnsi="Arial" w:cs="Arial"/>
          <w:bCs/>
          <w:i/>
          <w:iCs/>
          <w:sz w:val="24"/>
          <w:szCs w:val="24"/>
        </w:rPr>
        <w:t>upscaling</w:t>
      </w:r>
      <w:proofErr w:type="spellEnd"/>
      <w:r w:rsidRPr="00AC637F">
        <w:rPr>
          <w:rFonts w:ascii="Arial" w:eastAsia="Times New Roman" w:hAnsi="Arial" w:cs="Arial"/>
          <w:bCs/>
          <w:sz w:val="24"/>
          <w:szCs w:val="24"/>
        </w:rPr>
        <w:t xml:space="preserve"> dos dados de GR, quando comparado aos dados de poço subestima a quantidade de células com valores entre 30 e 40 </w:t>
      </w:r>
      <w:proofErr w:type="spellStart"/>
      <w:r w:rsidRPr="00AC637F">
        <w:rPr>
          <w:rFonts w:ascii="Arial" w:eastAsia="Times New Roman" w:hAnsi="Arial" w:cs="Arial"/>
          <w:bCs/>
          <w:sz w:val="24"/>
          <w:szCs w:val="24"/>
        </w:rPr>
        <w:t>gAPI</w:t>
      </w:r>
      <w:proofErr w:type="spellEnd"/>
      <w:r w:rsidRPr="00AC637F">
        <w:rPr>
          <w:rFonts w:ascii="Arial" w:eastAsia="Times New Roman" w:hAnsi="Arial" w:cs="Arial"/>
          <w:bCs/>
          <w:sz w:val="24"/>
          <w:szCs w:val="24"/>
        </w:rPr>
        <w:t xml:space="preserve">, no entanto, a distribuição dos dados de poço é mantida de maneira geral (Figura 23). Nas visualizações em mapa e perfil é possível observar uma transição de valores em torno de 30 </w:t>
      </w:r>
      <w:proofErr w:type="spellStart"/>
      <w:r w:rsidRPr="00AC637F">
        <w:rPr>
          <w:rFonts w:ascii="Arial" w:eastAsia="Times New Roman" w:hAnsi="Arial" w:cs="Arial"/>
          <w:bCs/>
          <w:sz w:val="24"/>
          <w:szCs w:val="24"/>
        </w:rPr>
        <w:t>gAPI</w:t>
      </w:r>
      <w:proofErr w:type="spellEnd"/>
      <w:r w:rsidRPr="00AC637F">
        <w:rPr>
          <w:rFonts w:ascii="Arial" w:eastAsia="Times New Roman" w:hAnsi="Arial" w:cs="Arial"/>
          <w:bCs/>
          <w:sz w:val="24"/>
          <w:szCs w:val="24"/>
        </w:rPr>
        <w:t xml:space="preserve"> em células mais profundas próximas ao contato óleo-água para valores em torno de 60 </w:t>
      </w:r>
      <w:proofErr w:type="spellStart"/>
      <w:r w:rsidRPr="00AC637F">
        <w:rPr>
          <w:rFonts w:ascii="Arial" w:eastAsia="Times New Roman" w:hAnsi="Arial" w:cs="Arial"/>
          <w:bCs/>
          <w:sz w:val="24"/>
          <w:szCs w:val="24"/>
        </w:rPr>
        <w:t>gAPI</w:t>
      </w:r>
      <w:proofErr w:type="spellEnd"/>
      <w:r w:rsidRPr="00AC637F">
        <w:rPr>
          <w:rFonts w:ascii="Arial" w:eastAsia="Times New Roman" w:hAnsi="Arial" w:cs="Arial"/>
          <w:bCs/>
          <w:sz w:val="24"/>
          <w:szCs w:val="24"/>
        </w:rPr>
        <w:t xml:space="preserve"> para células mais próximas ao horizonte do topo do Quissamã. Os valores médios de GR são similares na porção sul e norte do reservatório, embora a porção norte mostre uma variância nos valores consideravelmente maior com CV de 0,6 (Tabela 6), verifica-se isto na visão em perfil com a porção norte trazendo valores em torno de 60 </w:t>
      </w:r>
      <w:proofErr w:type="spellStart"/>
      <w:r w:rsidRPr="00AC637F">
        <w:rPr>
          <w:rFonts w:ascii="Arial" w:eastAsia="Times New Roman" w:hAnsi="Arial" w:cs="Arial"/>
          <w:bCs/>
          <w:sz w:val="24"/>
          <w:szCs w:val="24"/>
        </w:rPr>
        <w:t>gAPI</w:t>
      </w:r>
      <w:proofErr w:type="spellEnd"/>
      <w:r w:rsidRPr="00AC637F">
        <w:rPr>
          <w:rFonts w:ascii="Arial" w:eastAsia="Times New Roman" w:hAnsi="Arial" w:cs="Arial"/>
          <w:bCs/>
          <w:sz w:val="24"/>
          <w:szCs w:val="24"/>
        </w:rPr>
        <w:t xml:space="preserve"> intercalados com valores em torno de 30 </w:t>
      </w:r>
      <w:proofErr w:type="spellStart"/>
      <w:r w:rsidRPr="00AC637F">
        <w:rPr>
          <w:rFonts w:ascii="Arial" w:eastAsia="Times New Roman" w:hAnsi="Arial" w:cs="Arial"/>
          <w:bCs/>
          <w:sz w:val="24"/>
          <w:szCs w:val="24"/>
        </w:rPr>
        <w:t>gAPI</w:t>
      </w:r>
      <w:proofErr w:type="spellEnd"/>
      <w:r w:rsidRPr="00AC637F">
        <w:rPr>
          <w:rFonts w:ascii="Arial" w:eastAsia="Times New Roman" w:hAnsi="Arial" w:cs="Arial"/>
          <w:bCs/>
          <w:sz w:val="24"/>
          <w:szCs w:val="24"/>
        </w:rPr>
        <w:t xml:space="preserve"> enquanto a porção sul apresenta transição mais relacionada com a profundidade (Figura 24).</w:t>
      </w:r>
    </w:p>
    <w:p w14:paraId="072042B2" w14:textId="5ABE38B8" w:rsidR="00366C5C" w:rsidRDefault="00AC637F" w:rsidP="00AC637F">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lastRenderedPageBreak/>
        <w:t xml:space="preserve">Embora somente os dados de raio sejam insuficientes para inferir litologias </w:t>
      </w:r>
      <w:r w:rsidR="00EF56DE">
        <w:rPr>
          <w:rFonts w:ascii="Arial" w:eastAsia="Times New Roman" w:hAnsi="Arial" w:cs="Arial"/>
          <w:bCs/>
          <w:sz w:val="24"/>
          <w:szCs w:val="24"/>
        </w:rPr>
        <w:t>ou conteúdo de fluidos</w:t>
      </w:r>
      <w:r>
        <w:rPr>
          <w:rFonts w:ascii="Arial" w:eastAsia="Times New Roman" w:hAnsi="Arial" w:cs="Arial"/>
          <w:bCs/>
          <w:sz w:val="24"/>
          <w:szCs w:val="24"/>
        </w:rPr>
        <w:t>, o</w:t>
      </w:r>
      <w:r w:rsidRPr="00AC637F">
        <w:rPr>
          <w:rFonts w:ascii="Arial" w:eastAsia="Times New Roman" w:hAnsi="Arial" w:cs="Arial"/>
          <w:bCs/>
          <w:sz w:val="24"/>
          <w:szCs w:val="24"/>
        </w:rPr>
        <w:t>s resultados do modelamento sugerem a ocorrência de fácies folhelho ou granulometrias mais finas cobrindo e se intercalando às sequências carbonáticas do Quissamã</w:t>
      </w:r>
      <w:r w:rsidR="00EF56DE">
        <w:rPr>
          <w:rFonts w:ascii="Arial" w:eastAsia="Times New Roman" w:hAnsi="Arial" w:cs="Arial"/>
          <w:bCs/>
          <w:sz w:val="24"/>
          <w:szCs w:val="24"/>
        </w:rPr>
        <w:t xml:space="preserve"> (</w:t>
      </w:r>
      <w:proofErr w:type="spellStart"/>
      <w:r w:rsidR="00EF56DE">
        <w:rPr>
          <w:rFonts w:ascii="Arial" w:eastAsia="Times New Roman" w:hAnsi="Arial" w:cs="Arial"/>
          <w:bCs/>
          <w:sz w:val="24"/>
          <w:szCs w:val="24"/>
        </w:rPr>
        <w:t>calcarenitos</w:t>
      </w:r>
      <w:proofErr w:type="spellEnd"/>
      <w:r w:rsidR="00EF56DE">
        <w:rPr>
          <w:rFonts w:ascii="Arial" w:eastAsia="Times New Roman" w:hAnsi="Arial" w:cs="Arial"/>
          <w:bCs/>
          <w:sz w:val="24"/>
          <w:szCs w:val="24"/>
        </w:rPr>
        <w:t xml:space="preserve"> e </w:t>
      </w:r>
      <w:proofErr w:type="spellStart"/>
      <w:r w:rsidR="00EF56DE">
        <w:rPr>
          <w:rFonts w:ascii="Arial" w:eastAsia="Times New Roman" w:hAnsi="Arial" w:cs="Arial"/>
          <w:bCs/>
          <w:sz w:val="24"/>
          <w:szCs w:val="24"/>
        </w:rPr>
        <w:t>calciruditos</w:t>
      </w:r>
      <w:proofErr w:type="spellEnd"/>
      <w:r w:rsidR="00EF56DE">
        <w:rPr>
          <w:rFonts w:ascii="Arial" w:eastAsia="Times New Roman" w:hAnsi="Arial" w:cs="Arial"/>
          <w:bCs/>
          <w:sz w:val="24"/>
          <w:szCs w:val="24"/>
        </w:rPr>
        <w:t>)</w:t>
      </w:r>
      <w:r w:rsidRPr="00AC637F">
        <w:rPr>
          <w:rFonts w:ascii="Arial" w:eastAsia="Times New Roman" w:hAnsi="Arial" w:cs="Arial"/>
          <w:bCs/>
          <w:sz w:val="24"/>
          <w:szCs w:val="24"/>
        </w:rPr>
        <w:t>, em especial em regiões próximas ao topo da Formação, sugerindo início de transição para a Formação Outeiro.</w:t>
      </w:r>
      <w:r w:rsidR="00EF56DE">
        <w:rPr>
          <w:rFonts w:ascii="Arial" w:eastAsia="Times New Roman" w:hAnsi="Arial" w:cs="Arial"/>
          <w:bCs/>
          <w:sz w:val="24"/>
          <w:szCs w:val="24"/>
        </w:rPr>
        <w:t xml:space="preserve"> </w:t>
      </w:r>
      <w:bookmarkStart w:id="54" w:name="_Hlk32837883"/>
      <w:r w:rsidR="00EF56DE">
        <w:rPr>
          <w:rFonts w:ascii="Arial" w:eastAsia="Times New Roman" w:hAnsi="Arial" w:cs="Arial"/>
          <w:bCs/>
          <w:sz w:val="24"/>
          <w:szCs w:val="24"/>
        </w:rPr>
        <w:t>Ao mesmo tempo, os valores mais altos associados ao alto estrutural na porção sul do reservatório também podem estar associados a presença de hidrocarbonetos.</w:t>
      </w:r>
      <w:bookmarkEnd w:id="54"/>
    </w:p>
    <w:p w14:paraId="69F7EF18" w14:textId="77777777" w:rsidR="003258A5" w:rsidRDefault="003258A5" w:rsidP="00AC637F">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5EA827FA"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subestimam valores em torno de 30 </w:t>
      </w:r>
      <w:proofErr w:type="spellStart"/>
      <w:proofErr w:type="gramStart"/>
      <w:r>
        <w:rPr>
          <w:rFonts w:ascii="Arial" w:hAnsi="Arial" w:cs="Arial"/>
          <w:b/>
          <w:color w:val="auto"/>
          <w:sz w:val="20"/>
          <w:szCs w:val="20"/>
        </w:rPr>
        <w:t>gAPI</w:t>
      </w:r>
      <w:proofErr w:type="spellEnd"/>
      <w:proofErr w:type="gramEnd"/>
      <w:r w:rsidR="00EF56DE">
        <w:rPr>
          <w:rFonts w:ascii="Arial" w:hAnsi="Arial" w:cs="Arial"/>
          <w:b/>
          <w:color w:val="auto"/>
          <w:sz w:val="20"/>
          <w:szCs w:val="20"/>
        </w:rPr>
        <w:t xml:space="preserve"> mas honram de maneira geral a distribuição original dos dados de poço. Dados modelados (em azul) mantem a distribuição dos dados de entrada (em rosa).</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6DB7EAEC" w14:textId="54B4AFA0" w:rsidR="00C12D85" w:rsidRDefault="00366C5C" w:rsidP="00366C5C">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C12D85" w:rsidRPr="00C12D85">
        <w:rPr>
          <w:rFonts w:ascii="Arial" w:eastAsia="Times New Roman" w:hAnsi="Arial" w:cs="Arial"/>
          <w:bCs/>
          <w:sz w:val="24"/>
          <w:szCs w:val="24"/>
        </w:rPr>
        <w:t xml:space="preserve">Os dados de perfil sônico apresentam uma distribuição aproximadamente normal com média em torno de 80 </w:t>
      </w:r>
      <w:proofErr w:type="spellStart"/>
      <w:r w:rsidR="00C12D85" w:rsidRPr="00C12D85">
        <w:rPr>
          <w:rFonts w:ascii="Arial" w:eastAsia="Times New Roman" w:hAnsi="Arial" w:cs="Arial"/>
          <w:bCs/>
          <w:sz w:val="24"/>
          <w:szCs w:val="24"/>
        </w:rPr>
        <w:t>μs</w:t>
      </w:r>
      <w:proofErr w:type="spellEnd"/>
      <w:r w:rsidR="00C12D85" w:rsidRPr="00C12D85">
        <w:rPr>
          <w:rFonts w:ascii="Arial" w:eastAsia="Times New Roman" w:hAnsi="Arial" w:cs="Arial"/>
          <w:bCs/>
          <w:sz w:val="24"/>
          <w:szCs w:val="24"/>
        </w:rPr>
        <w:t>/</w:t>
      </w:r>
      <w:proofErr w:type="spellStart"/>
      <w:r w:rsidR="00C12D85" w:rsidRPr="00C12D85">
        <w:rPr>
          <w:rFonts w:ascii="Arial" w:eastAsia="Times New Roman" w:hAnsi="Arial" w:cs="Arial"/>
          <w:bCs/>
          <w:sz w:val="24"/>
          <w:szCs w:val="24"/>
        </w:rPr>
        <w:t>ft</w:t>
      </w:r>
      <w:proofErr w:type="spellEnd"/>
      <w:r w:rsidR="00C12D85" w:rsidRPr="00C12D85">
        <w:rPr>
          <w:rFonts w:ascii="Arial" w:eastAsia="Times New Roman" w:hAnsi="Arial" w:cs="Arial"/>
          <w:bCs/>
          <w:sz w:val="24"/>
          <w:szCs w:val="24"/>
        </w:rPr>
        <w:t xml:space="preserve"> tanto para os dados de entrada como para os dados após </w:t>
      </w:r>
      <w:proofErr w:type="spellStart"/>
      <w:r w:rsidR="00C12D85" w:rsidRPr="00C12D85">
        <w:rPr>
          <w:rFonts w:ascii="Arial" w:eastAsia="Times New Roman" w:hAnsi="Arial" w:cs="Arial"/>
          <w:bCs/>
          <w:sz w:val="24"/>
          <w:szCs w:val="24"/>
        </w:rPr>
        <w:t>upscaling</w:t>
      </w:r>
      <w:proofErr w:type="spellEnd"/>
      <w:r w:rsidR="00C12D85" w:rsidRPr="00C12D85">
        <w:rPr>
          <w:rFonts w:ascii="Arial" w:eastAsia="Times New Roman" w:hAnsi="Arial" w:cs="Arial"/>
          <w:bCs/>
          <w:sz w:val="24"/>
          <w:szCs w:val="24"/>
        </w:rPr>
        <w:t xml:space="preserve"> e modelados (Figura 25). Nos modelos em mapa e perfil se observa assim como nos modelos de raio gama uma transição de baixos valores próximos ao contato óleo-água para altos valores próximos ao topo do Quissamã bem como maior variância nos valores</w:t>
      </w:r>
      <w:r w:rsidR="00C12D85">
        <w:rPr>
          <w:rFonts w:ascii="Arial" w:eastAsia="Times New Roman" w:hAnsi="Arial" w:cs="Arial"/>
          <w:bCs/>
          <w:sz w:val="24"/>
          <w:szCs w:val="24"/>
        </w:rPr>
        <w:t xml:space="preserve"> na zona norte</w:t>
      </w:r>
      <w:r w:rsidR="00C12D85" w:rsidRPr="00C12D85">
        <w:rPr>
          <w:rFonts w:ascii="Arial" w:eastAsia="Times New Roman" w:hAnsi="Arial" w:cs="Arial"/>
          <w:bCs/>
          <w:sz w:val="24"/>
          <w:szCs w:val="24"/>
        </w:rPr>
        <w:t xml:space="preserve"> provavelmente relacionada a intercalação de camadas de altos e baixos valores (Figura 26).</w:t>
      </w:r>
    </w:p>
    <w:p w14:paraId="77FCD3E1" w14:textId="50D36975" w:rsidR="00366C5C" w:rsidRDefault="00C12D85" w:rsidP="00366C5C">
      <w:pPr>
        <w:spacing w:before="240" w:line="360" w:lineRule="auto"/>
        <w:ind w:firstLine="708"/>
        <w:jc w:val="both"/>
        <w:outlineLvl w:val="2"/>
        <w:rPr>
          <w:rFonts w:ascii="Arial" w:eastAsia="Times New Roman" w:hAnsi="Arial" w:cs="Arial"/>
          <w:bCs/>
          <w:sz w:val="24"/>
          <w:szCs w:val="24"/>
        </w:rPr>
      </w:pPr>
      <w:r w:rsidRPr="00C12D85">
        <w:rPr>
          <w:rFonts w:ascii="Arial" w:eastAsia="Times New Roman" w:hAnsi="Arial" w:cs="Arial"/>
          <w:bCs/>
          <w:sz w:val="24"/>
          <w:szCs w:val="24"/>
        </w:rPr>
        <w:t xml:space="preserve">Os valores obtidos para o modelo variam primariamente entre 60 e 100 </w:t>
      </w:r>
      <w:proofErr w:type="spellStart"/>
      <w:r w:rsidRPr="00C12D85">
        <w:rPr>
          <w:rFonts w:ascii="Arial" w:eastAsia="Times New Roman" w:hAnsi="Arial" w:cs="Arial"/>
          <w:bCs/>
          <w:sz w:val="24"/>
          <w:szCs w:val="24"/>
        </w:rPr>
        <w:t>μs</w:t>
      </w:r>
      <w:proofErr w:type="spellEnd"/>
      <w:r w:rsidRPr="00C12D85">
        <w:rPr>
          <w:rFonts w:ascii="Arial" w:eastAsia="Times New Roman" w:hAnsi="Arial" w:cs="Arial"/>
          <w:bCs/>
          <w:sz w:val="24"/>
          <w:szCs w:val="24"/>
        </w:rPr>
        <w:t>/</w:t>
      </w:r>
      <w:proofErr w:type="spellStart"/>
      <w:r w:rsidRPr="00C12D85">
        <w:rPr>
          <w:rFonts w:ascii="Arial" w:eastAsia="Times New Roman" w:hAnsi="Arial" w:cs="Arial"/>
          <w:bCs/>
          <w:sz w:val="24"/>
          <w:szCs w:val="24"/>
        </w:rPr>
        <w:t>ft</w:t>
      </w:r>
      <w:proofErr w:type="spellEnd"/>
      <w:r w:rsidRPr="00C12D85">
        <w:rPr>
          <w:rFonts w:ascii="Arial" w:eastAsia="Times New Roman" w:hAnsi="Arial" w:cs="Arial"/>
          <w:bCs/>
          <w:sz w:val="24"/>
          <w:szCs w:val="24"/>
        </w:rPr>
        <w:t xml:space="preserve">, valores consideravelmente superiores aos valores típicos entre 40 e 50 </w:t>
      </w:r>
      <w:proofErr w:type="spellStart"/>
      <w:r w:rsidRPr="00C12D85">
        <w:rPr>
          <w:rFonts w:ascii="Arial" w:eastAsia="Times New Roman" w:hAnsi="Arial" w:cs="Arial"/>
          <w:bCs/>
          <w:sz w:val="24"/>
          <w:szCs w:val="24"/>
        </w:rPr>
        <w:t>μs</w:t>
      </w:r>
      <w:proofErr w:type="spellEnd"/>
      <w:r w:rsidRPr="00C12D85">
        <w:rPr>
          <w:rFonts w:ascii="Arial" w:eastAsia="Times New Roman" w:hAnsi="Arial" w:cs="Arial"/>
          <w:bCs/>
          <w:sz w:val="24"/>
          <w:szCs w:val="24"/>
        </w:rPr>
        <w:t>/</w:t>
      </w:r>
      <w:proofErr w:type="spellStart"/>
      <w:r w:rsidRPr="00C12D85">
        <w:rPr>
          <w:rFonts w:ascii="Arial" w:eastAsia="Times New Roman" w:hAnsi="Arial" w:cs="Arial"/>
          <w:bCs/>
          <w:sz w:val="24"/>
          <w:szCs w:val="24"/>
        </w:rPr>
        <w:t>ft</w:t>
      </w:r>
      <w:proofErr w:type="spellEnd"/>
      <w:r w:rsidRPr="00C12D85">
        <w:rPr>
          <w:rFonts w:ascii="Arial" w:eastAsia="Times New Roman" w:hAnsi="Arial" w:cs="Arial"/>
          <w:bCs/>
          <w:sz w:val="24"/>
          <w:szCs w:val="24"/>
        </w:rPr>
        <w:t xml:space="preserve"> para minerais carbonáticos como calcita e dolomita, sendo valores esperados para filosilicatos como feldspatos ou argilas. O perfil sônico, no entanto, é altamente influenciado pela porosidade, </w:t>
      </w:r>
      <w:r>
        <w:rPr>
          <w:rFonts w:ascii="Arial" w:eastAsia="Times New Roman" w:hAnsi="Arial" w:cs="Arial"/>
          <w:bCs/>
          <w:sz w:val="24"/>
          <w:szCs w:val="24"/>
        </w:rPr>
        <w:t xml:space="preserve">dado que fluidos como água, gás e petróleo tem respostas com altos valores em torno de 150 a 200 </w:t>
      </w:r>
      <w:proofErr w:type="spellStart"/>
      <w:r w:rsidRPr="00C12D85">
        <w:rPr>
          <w:rFonts w:ascii="Arial" w:eastAsia="Times New Roman" w:hAnsi="Arial" w:cs="Arial"/>
          <w:bCs/>
          <w:sz w:val="24"/>
          <w:szCs w:val="24"/>
        </w:rPr>
        <w:t>μs</w:t>
      </w:r>
      <w:proofErr w:type="spellEnd"/>
      <w:r w:rsidRPr="00C12D85">
        <w:rPr>
          <w:rFonts w:ascii="Arial" w:eastAsia="Times New Roman" w:hAnsi="Arial" w:cs="Arial"/>
          <w:bCs/>
          <w:sz w:val="24"/>
          <w:szCs w:val="24"/>
        </w:rPr>
        <w:t>/</w:t>
      </w:r>
      <w:proofErr w:type="spellStart"/>
      <w:r w:rsidRPr="00C12D85">
        <w:rPr>
          <w:rFonts w:ascii="Arial" w:eastAsia="Times New Roman" w:hAnsi="Arial" w:cs="Arial"/>
          <w:bCs/>
          <w:sz w:val="24"/>
          <w:szCs w:val="24"/>
        </w:rPr>
        <w:t>ft</w:t>
      </w:r>
      <w:proofErr w:type="spellEnd"/>
      <w:r w:rsidRPr="00C12D85">
        <w:rPr>
          <w:rFonts w:ascii="Arial" w:eastAsia="Times New Roman" w:hAnsi="Arial" w:cs="Arial"/>
          <w:bCs/>
          <w:sz w:val="24"/>
          <w:szCs w:val="24"/>
        </w:rPr>
        <w:t xml:space="preserve">, assim provavelmente explicando os valores observados. Ao mesmo tempo, os valores em torno de 100 </w:t>
      </w:r>
      <w:proofErr w:type="spellStart"/>
      <w:r w:rsidRPr="00C12D85">
        <w:rPr>
          <w:rFonts w:ascii="Arial" w:eastAsia="Times New Roman" w:hAnsi="Arial" w:cs="Arial"/>
          <w:bCs/>
          <w:sz w:val="24"/>
          <w:szCs w:val="24"/>
        </w:rPr>
        <w:t>μs</w:t>
      </w:r>
      <w:proofErr w:type="spellEnd"/>
      <w:r w:rsidRPr="00C12D85">
        <w:rPr>
          <w:rFonts w:ascii="Arial" w:eastAsia="Times New Roman" w:hAnsi="Arial" w:cs="Arial"/>
          <w:bCs/>
          <w:sz w:val="24"/>
          <w:szCs w:val="24"/>
        </w:rPr>
        <w:t>/</w:t>
      </w:r>
      <w:proofErr w:type="spellStart"/>
      <w:r w:rsidRPr="00C12D85">
        <w:rPr>
          <w:rFonts w:ascii="Arial" w:eastAsia="Times New Roman" w:hAnsi="Arial" w:cs="Arial"/>
          <w:bCs/>
          <w:sz w:val="24"/>
          <w:szCs w:val="24"/>
        </w:rPr>
        <w:t>ft</w:t>
      </w:r>
      <w:proofErr w:type="spellEnd"/>
      <w:r w:rsidRPr="00C12D85">
        <w:rPr>
          <w:rFonts w:ascii="Arial" w:eastAsia="Times New Roman" w:hAnsi="Arial" w:cs="Arial"/>
          <w:bCs/>
          <w:sz w:val="24"/>
          <w:szCs w:val="24"/>
        </w:rPr>
        <w:t xml:space="preserve"> próximos ao topo do Quissamã podem fornecer evidência de transição de </w:t>
      </w:r>
      <w:r w:rsidR="00136345">
        <w:rPr>
          <w:rFonts w:ascii="Arial" w:eastAsia="Times New Roman" w:hAnsi="Arial" w:cs="Arial"/>
          <w:bCs/>
          <w:sz w:val="24"/>
          <w:szCs w:val="24"/>
        </w:rPr>
        <w:t>litologias</w:t>
      </w:r>
      <w:r w:rsidRPr="00C12D85">
        <w:rPr>
          <w:rFonts w:ascii="Arial" w:eastAsia="Times New Roman" w:hAnsi="Arial" w:cs="Arial"/>
          <w:bCs/>
          <w:sz w:val="24"/>
          <w:szCs w:val="24"/>
        </w:rPr>
        <w:t>,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38C255AB"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a distribuição original aproximadamente normal dos dados de poço. Dados modelados (em azul) mantem a distribuição dos dados de entrada (em rosa).</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07F85C35" w14:textId="0EE51095" w:rsidR="000F4A9C" w:rsidRPr="000F4A9C" w:rsidRDefault="000F4A9C" w:rsidP="000F4A9C">
      <w:pPr>
        <w:spacing w:before="240" w:line="360" w:lineRule="auto"/>
        <w:ind w:firstLine="708"/>
        <w:jc w:val="both"/>
        <w:outlineLvl w:val="2"/>
        <w:rPr>
          <w:rFonts w:ascii="Arial" w:eastAsia="Times New Roman" w:hAnsi="Arial" w:cs="Arial"/>
          <w:bCs/>
          <w:sz w:val="24"/>
          <w:szCs w:val="24"/>
        </w:rPr>
      </w:pPr>
      <w:r w:rsidRPr="000F4A9C">
        <w:rPr>
          <w:rFonts w:ascii="Arial" w:eastAsia="Times New Roman" w:hAnsi="Arial" w:cs="Arial"/>
          <w:bCs/>
          <w:sz w:val="24"/>
          <w:szCs w:val="24"/>
        </w:rPr>
        <w:t>Os modelos de Densidade apresentam valores principalmente concentrados entre 2,3 g/cm³ e 2,5 g/cm³, com valores mínimos de 2,1 g/cm³ e máximos de 2,7g/cm³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47695573" w:rsidR="00366C5C" w:rsidRDefault="000F4A9C" w:rsidP="000F4A9C">
      <w:pPr>
        <w:spacing w:before="240" w:line="360" w:lineRule="auto"/>
        <w:ind w:firstLine="708"/>
        <w:jc w:val="both"/>
        <w:outlineLvl w:val="2"/>
        <w:rPr>
          <w:rFonts w:ascii="Arial" w:eastAsia="Times New Roman" w:hAnsi="Arial" w:cs="Arial"/>
          <w:bCs/>
          <w:sz w:val="24"/>
          <w:szCs w:val="24"/>
        </w:rPr>
      </w:pPr>
      <w:r w:rsidRPr="000F4A9C">
        <w:rPr>
          <w:rFonts w:ascii="Arial" w:eastAsia="Times New Roman" w:hAnsi="Arial" w:cs="Arial"/>
          <w:bCs/>
          <w:sz w:val="24"/>
          <w:szCs w:val="24"/>
        </w:rPr>
        <w:t xml:space="preserve">Na visualização em perfil é possível notar uma região de baixa densidade associada ao alto estrutural na porção sudoeste do reservatório, sugerindo uma região de alta porosidade em meio ao reservatório. Outras camadas </w:t>
      </w:r>
      <w:r w:rsidR="00C91E8C">
        <w:rPr>
          <w:rFonts w:ascii="Arial" w:eastAsia="Times New Roman" w:hAnsi="Arial" w:cs="Arial"/>
          <w:bCs/>
          <w:sz w:val="24"/>
          <w:szCs w:val="24"/>
        </w:rPr>
        <w:t>com baixa</w:t>
      </w:r>
      <w:r w:rsidRPr="000F4A9C">
        <w:rPr>
          <w:rFonts w:ascii="Arial" w:eastAsia="Times New Roman" w:hAnsi="Arial" w:cs="Arial"/>
          <w:bCs/>
          <w:sz w:val="24"/>
          <w:szCs w:val="24"/>
        </w:rPr>
        <w:t xml:space="preserve"> </w:t>
      </w:r>
      <w:proofErr w:type="gramStart"/>
      <w:r w:rsidRPr="000F4A9C">
        <w:rPr>
          <w:rFonts w:ascii="Arial" w:eastAsia="Times New Roman" w:hAnsi="Arial" w:cs="Arial"/>
          <w:bCs/>
          <w:sz w:val="24"/>
          <w:szCs w:val="24"/>
        </w:rPr>
        <w:t>densidade podem</w:t>
      </w:r>
      <w:proofErr w:type="gramEnd"/>
      <w:r w:rsidRPr="000F4A9C">
        <w:rPr>
          <w:rFonts w:ascii="Arial" w:eastAsia="Times New Roman" w:hAnsi="Arial" w:cs="Arial"/>
          <w:bCs/>
          <w:sz w:val="24"/>
          <w:szCs w:val="24"/>
        </w:rPr>
        <w:t xml:space="preserve"> ser observadas ao longo do perfil, em especial na região nordeste do modelo, com muitas pequenas intercalações de zonas de baixa densidade com alta densidade, </w:t>
      </w:r>
      <w:bookmarkStart w:id="57" w:name="_GoBack"/>
      <w:bookmarkEnd w:id="57"/>
      <w:r w:rsidRPr="000F4A9C">
        <w:rPr>
          <w:rFonts w:ascii="Arial" w:eastAsia="Times New Roman" w:hAnsi="Arial" w:cs="Arial"/>
          <w:bCs/>
          <w:sz w:val="24"/>
          <w:szCs w:val="24"/>
        </w:rPr>
        <w:t>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568653B6"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de densidade</w:t>
      </w:r>
      <w:r>
        <w:rPr>
          <w:rFonts w:ascii="Arial" w:hAnsi="Arial" w:cs="Arial"/>
          <w:b/>
          <w:color w:val="auto"/>
          <w:sz w:val="20"/>
          <w:szCs w:val="20"/>
        </w:rPr>
        <w:t xml:space="preserve"> (</w:t>
      </w:r>
      <w:r>
        <w:rPr>
          <w:rFonts w:ascii="Arial" w:hAnsi="Arial" w:cs="Arial"/>
          <w:b/>
          <w:color w:val="auto"/>
          <w:sz w:val="20"/>
          <w:szCs w:val="20"/>
        </w:rPr>
        <w:t>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w:t>
      </w:r>
      <w:r>
        <w:rPr>
          <w:rFonts w:ascii="Arial" w:hAnsi="Arial" w:cs="Arial"/>
          <w:b/>
          <w:color w:val="auto"/>
          <w:sz w:val="20"/>
          <w:szCs w:val="20"/>
        </w:rPr>
        <w:t>e concentram-se em valores entre 2,3 g/cm³ e 2,5 g/cm³</w:t>
      </w:r>
      <w:r>
        <w:rPr>
          <w:rFonts w:ascii="Arial" w:hAnsi="Arial" w:cs="Arial"/>
          <w:b/>
          <w:color w:val="auto"/>
          <w:sz w:val="20"/>
          <w:szCs w:val="20"/>
        </w:rPr>
        <w:t>. Dados modelados (em azul) mantem a distribuição dos dados de entrada (em rosa).</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4E823D90"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baixa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proofErr w:type="spellStart"/>
      <w:r w:rsidRPr="00366C5C">
        <w:rPr>
          <w:rFonts w:ascii="Arial" w:eastAsia="Times New Roman" w:hAnsi="Arial" w:cs="Arial"/>
          <w:bCs/>
          <w:sz w:val="24"/>
          <w:szCs w:val="24"/>
        </w:rPr>
        <w:t>Bla</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w:t>
      </w:r>
    </w:p>
    <w:p w14:paraId="2B8D3A7D"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6730AEAA" w14:textId="2FC6D94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p>
    <w:p w14:paraId="3449F36B"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proofErr w:type="spellStart"/>
      <w:r w:rsidRPr="00366C5C">
        <w:rPr>
          <w:rFonts w:ascii="Arial" w:eastAsia="Times New Roman" w:hAnsi="Arial" w:cs="Arial"/>
          <w:bCs/>
          <w:sz w:val="24"/>
          <w:szCs w:val="24"/>
        </w:rPr>
        <w:t>Bla</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w:t>
      </w:r>
    </w:p>
    <w:p w14:paraId="7A8A19AF"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05744182" w14:textId="4FD0A7D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Correlações entre propriedades modeladas</w:t>
      </w:r>
    </w:p>
    <w:p w14:paraId="725DCAAE"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proofErr w:type="spellStart"/>
      <w:r w:rsidRPr="00366C5C">
        <w:rPr>
          <w:rFonts w:ascii="Arial" w:eastAsia="Times New Roman" w:hAnsi="Arial" w:cs="Arial"/>
          <w:bCs/>
          <w:sz w:val="24"/>
          <w:szCs w:val="24"/>
        </w:rPr>
        <w:t>Bla</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 </w:t>
      </w:r>
      <w:proofErr w:type="spellStart"/>
      <w:r w:rsidRPr="00366C5C">
        <w:rPr>
          <w:rFonts w:ascii="Arial" w:eastAsia="Times New Roman" w:hAnsi="Arial" w:cs="Arial"/>
          <w:bCs/>
          <w:sz w:val="24"/>
          <w:szCs w:val="24"/>
        </w:rPr>
        <w:t>ble</w:t>
      </w:r>
      <w:proofErr w:type="spellEnd"/>
      <w:r w:rsidRPr="00366C5C">
        <w:rPr>
          <w:rFonts w:ascii="Arial" w:eastAsia="Times New Roman" w:hAnsi="Arial" w:cs="Arial"/>
          <w:bCs/>
          <w:sz w:val="24"/>
          <w:szCs w:val="24"/>
        </w:rPr>
        <w:t xml:space="preserve"> </w:t>
      </w:r>
      <w:proofErr w:type="spellStart"/>
      <w:r w:rsidRPr="00366C5C">
        <w:rPr>
          <w:rFonts w:ascii="Arial" w:eastAsia="Times New Roman" w:hAnsi="Arial" w:cs="Arial"/>
          <w:bCs/>
          <w:sz w:val="24"/>
          <w:szCs w:val="24"/>
        </w:rPr>
        <w:t>bli</w:t>
      </w:r>
      <w:proofErr w:type="spellEnd"/>
      <w:r w:rsidRPr="00366C5C">
        <w:rPr>
          <w:rFonts w:ascii="Arial" w:eastAsia="Times New Roman" w:hAnsi="Arial" w:cs="Arial"/>
          <w:bCs/>
          <w:sz w:val="24"/>
          <w:szCs w:val="24"/>
        </w:rPr>
        <w:t xml:space="preserve"> bloawqer30r89fy</w:t>
      </w:r>
    </w:p>
    <w:p w14:paraId="12C435F5"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058323F7" w14:textId="2179AF5E" w:rsidR="00366C5C" w:rsidRPr="00366C5C" w:rsidRDefault="00366C5C" w:rsidP="00366C5C">
      <w:pPr>
        <w:spacing w:line="360" w:lineRule="auto"/>
        <w:jc w:val="both"/>
        <w:rPr>
          <w:rFonts w:ascii="Arial" w:hAnsi="Arial" w:cs="Arial"/>
          <w:sz w:val="24"/>
          <w:szCs w:val="24"/>
        </w:rPr>
      </w:pPr>
    </w:p>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tab/>
      </w:r>
      <w:bookmarkStart w:id="5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8"/>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5">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59" w:name="_Toc32229553"/>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59"/>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46">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60"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w:t>
      </w:r>
      <w:proofErr w:type="gramStart"/>
      <w:r w:rsidRPr="00D230EE">
        <w:rPr>
          <w:rFonts w:ascii="Arial" w:hAnsi="Arial" w:cs="Arial"/>
          <w:b/>
          <w:bCs/>
          <w:color w:val="auto"/>
          <w:sz w:val="20"/>
          <w:szCs w:val="20"/>
        </w:rPr>
        <w:t>diferente classes</w:t>
      </w:r>
      <w:proofErr w:type="gramEnd"/>
      <w:r w:rsidRPr="00D230EE">
        <w:rPr>
          <w:rFonts w:ascii="Arial" w:hAnsi="Arial" w:cs="Arial"/>
          <w:b/>
          <w:bCs/>
          <w:color w:val="auto"/>
          <w:sz w:val="20"/>
          <w:szCs w:val="20"/>
        </w:rPr>
        <w:t>.</w:t>
      </w:r>
      <w:bookmarkEnd w:id="60"/>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47">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61"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61"/>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62" w:name="_Toc32229566"/>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62"/>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48">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63"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63"/>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49">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0">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64"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64"/>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1">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65"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65"/>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2">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66"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66"/>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67" w:name="_Toc12834451"/>
      <w:r>
        <w:rPr>
          <w:rFonts w:ascii="Arial" w:hAnsi="Arial" w:cs="Arial"/>
          <w:b/>
          <w:sz w:val="24"/>
          <w:szCs w:val="24"/>
        </w:rPr>
        <w:t>Cálculos de Volume</w:t>
      </w:r>
      <w:bookmarkEnd w:id="67"/>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68"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68"/>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3">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69"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69"/>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4">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70"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70"/>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55">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39C44BF2"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w:t>
      </w:r>
      <w:proofErr w:type="spellStart"/>
      <w:r w:rsidR="00F1260D">
        <w:rPr>
          <w:rFonts w:ascii="Arial" w:hAnsi="Arial" w:cs="Arial"/>
          <w:sz w:val="24"/>
          <w:szCs w:val="24"/>
        </w:rPr>
        <w:t>deporosidade</w:t>
      </w:r>
      <w:proofErr w:type="spellEnd"/>
      <w:r w:rsidR="00F1260D">
        <w:rPr>
          <w:rFonts w:ascii="Arial" w:hAnsi="Arial" w:cs="Arial"/>
          <w:sz w:val="24"/>
          <w:szCs w:val="24"/>
        </w:rPr>
        <w:t xml:space="preserv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1" w:name="_Toc12834452"/>
      <w:bookmarkStart w:id="72" w:name="_Hlk12832429"/>
      <w:r>
        <w:rPr>
          <w:rFonts w:ascii="Arial" w:eastAsia="Times New Roman" w:hAnsi="Arial" w:cs="Arial"/>
          <w:b/>
          <w:sz w:val="28"/>
          <w:szCs w:val="28"/>
        </w:rPr>
        <w:lastRenderedPageBreak/>
        <w:t>CONCLUSÕES</w:t>
      </w:r>
      <w:bookmarkEnd w:id="71"/>
    </w:p>
    <w:bookmarkEnd w:id="72"/>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3" w:name="_Toc12834453"/>
      <w:r>
        <w:rPr>
          <w:rFonts w:ascii="Arial" w:eastAsia="Times New Roman" w:hAnsi="Arial" w:cs="Arial"/>
          <w:b/>
          <w:sz w:val="28"/>
          <w:szCs w:val="28"/>
        </w:rPr>
        <w:t>REFERÊNCIAS BIBLIOGRÁFICAS</w:t>
      </w:r>
      <w:bookmarkEnd w:id="73"/>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D7197"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4D7197">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4D7197">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xml:space="preserve">, J., 2011. </w:t>
      </w:r>
      <w:proofErr w:type="spellStart"/>
      <w:r w:rsidRPr="00540F04">
        <w:rPr>
          <w:rFonts w:ascii="Arial" w:eastAsia="Times New Roman" w:hAnsi="Arial" w:cs="Arial"/>
          <w:bCs/>
          <w:lang w:val="en-US"/>
        </w:rPr>
        <w:t>Scikit</w:t>
      </w:r>
      <w:proofErr w:type="spellEnd"/>
      <w:r w:rsidRPr="00540F04">
        <w:rPr>
          <w:rFonts w:ascii="Arial" w:eastAsia="Times New Roman" w:hAnsi="Arial" w:cs="Arial"/>
          <w:bCs/>
          <w:lang w:val="en-US"/>
        </w:rPr>
        <w: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56"/>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75B826" w14:textId="77777777" w:rsidR="00C170ED" w:rsidRDefault="00C170ED" w:rsidP="00DD5D20">
      <w:pPr>
        <w:spacing w:after="0" w:line="240" w:lineRule="auto"/>
      </w:pPr>
      <w:r>
        <w:separator/>
      </w:r>
    </w:p>
  </w:endnote>
  <w:endnote w:type="continuationSeparator" w:id="0">
    <w:p w14:paraId="23514A94" w14:textId="77777777" w:rsidR="00C170ED" w:rsidRDefault="00C170ED"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D34B0E" w:rsidRDefault="00D34B0E">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D34B0E" w:rsidRDefault="00D34B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7A1F8F" w14:textId="77777777" w:rsidR="00C170ED" w:rsidRDefault="00C170ED" w:rsidP="00DD5D20">
      <w:pPr>
        <w:spacing w:after="0" w:line="240" w:lineRule="auto"/>
      </w:pPr>
      <w:r>
        <w:separator/>
      </w:r>
    </w:p>
  </w:footnote>
  <w:footnote w:type="continuationSeparator" w:id="0">
    <w:p w14:paraId="454AE2F5" w14:textId="77777777" w:rsidR="00C170ED" w:rsidRDefault="00C170ED"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6893"/>
    <w:rsid w:val="0005577D"/>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60C7"/>
    <w:rsid w:val="0011650E"/>
    <w:rsid w:val="00126D99"/>
    <w:rsid w:val="001332DB"/>
    <w:rsid w:val="00136345"/>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381D"/>
    <w:rsid w:val="0026564E"/>
    <w:rsid w:val="00277A82"/>
    <w:rsid w:val="00286561"/>
    <w:rsid w:val="00287EB9"/>
    <w:rsid w:val="00292A63"/>
    <w:rsid w:val="002B1CA9"/>
    <w:rsid w:val="002B407F"/>
    <w:rsid w:val="002B4615"/>
    <w:rsid w:val="002B5D86"/>
    <w:rsid w:val="002C3571"/>
    <w:rsid w:val="002C375A"/>
    <w:rsid w:val="002C5B2E"/>
    <w:rsid w:val="002C5D58"/>
    <w:rsid w:val="002C659A"/>
    <w:rsid w:val="002D150E"/>
    <w:rsid w:val="002D6D65"/>
    <w:rsid w:val="002E6185"/>
    <w:rsid w:val="002F63EE"/>
    <w:rsid w:val="00322AB7"/>
    <w:rsid w:val="003258A5"/>
    <w:rsid w:val="0032750C"/>
    <w:rsid w:val="003463FA"/>
    <w:rsid w:val="00352561"/>
    <w:rsid w:val="00354126"/>
    <w:rsid w:val="003625E3"/>
    <w:rsid w:val="00366C5C"/>
    <w:rsid w:val="00377857"/>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4007EE"/>
    <w:rsid w:val="00402980"/>
    <w:rsid w:val="00402FE8"/>
    <w:rsid w:val="0040376C"/>
    <w:rsid w:val="00403851"/>
    <w:rsid w:val="00406342"/>
    <w:rsid w:val="0041191B"/>
    <w:rsid w:val="0041224B"/>
    <w:rsid w:val="00414EB6"/>
    <w:rsid w:val="00420141"/>
    <w:rsid w:val="00420BBE"/>
    <w:rsid w:val="00422C09"/>
    <w:rsid w:val="004273EF"/>
    <w:rsid w:val="00434322"/>
    <w:rsid w:val="00434D60"/>
    <w:rsid w:val="00441789"/>
    <w:rsid w:val="00452FAA"/>
    <w:rsid w:val="00453769"/>
    <w:rsid w:val="0045548B"/>
    <w:rsid w:val="00460EE8"/>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C1BE4"/>
    <w:rsid w:val="008C47CA"/>
    <w:rsid w:val="008D0FD1"/>
    <w:rsid w:val="008D682F"/>
    <w:rsid w:val="008E06FA"/>
    <w:rsid w:val="008F04A0"/>
    <w:rsid w:val="008F0D6D"/>
    <w:rsid w:val="00906351"/>
    <w:rsid w:val="00922D49"/>
    <w:rsid w:val="00942EBE"/>
    <w:rsid w:val="00943772"/>
    <w:rsid w:val="00952EDF"/>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3D40"/>
    <w:rsid w:val="00A6683E"/>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F4CE2"/>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C406A"/>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D5A6D"/>
    <w:rsid w:val="00DD5D20"/>
    <w:rsid w:val="00DE21CB"/>
    <w:rsid w:val="00DE29AD"/>
    <w:rsid w:val="00DF49ED"/>
    <w:rsid w:val="00DF58A1"/>
    <w:rsid w:val="00E05BAC"/>
    <w:rsid w:val="00E07403"/>
    <w:rsid w:val="00E17CB6"/>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48A4"/>
    <w:rsid w:val="00EB61E5"/>
    <w:rsid w:val="00EC7F74"/>
    <w:rsid w:val="00ED2199"/>
    <w:rsid w:val="00ED2558"/>
    <w:rsid w:val="00EE4341"/>
    <w:rsid w:val="00EF4B6B"/>
    <w:rsid w:val="00EF56DE"/>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81809"/>
    <w:rsid w:val="00F84842"/>
    <w:rsid w:val="00F86C66"/>
    <w:rsid w:val="00F91027"/>
    <w:rsid w:val="00F94B6D"/>
    <w:rsid w:val="00FA2D0F"/>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6D849-EA41-4ED9-8DCD-246490C7B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7764</TotalTime>
  <Pages>1</Pages>
  <Words>18458</Words>
  <Characters>99674</Characters>
  <Application>Microsoft Office Word</Application>
  <DocSecurity>0</DocSecurity>
  <Lines>830</Lines>
  <Paragraphs>235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109</cp:revision>
  <dcterms:created xsi:type="dcterms:W3CDTF">2019-05-19T21:02:00Z</dcterms:created>
  <dcterms:modified xsi:type="dcterms:W3CDTF">2020-02-17T19:32:00Z</dcterms:modified>
</cp:coreProperties>
</file>